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506187" w:rsidTr="003D459F"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06187" w:rsidRDefault="00506187" w:rsidP="003D459F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5C468ADC" wp14:editId="194A014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187" w:rsidTr="003D459F"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06187" w:rsidRDefault="00506187" w:rsidP="003D459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Вопрос: Как отражаются в учете членские взносы в саморегулируемую организацию?</w:t>
            </w:r>
            <w:r>
              <w:rPr>
                <w:sz w:val="48"/>
                <w:szCs w:val="48"/>
              </w:rPr>
              <w:br/>
              <w:t>(Консультация эксперта, 2022)</w:t>
            </w:r>
          </w:p>
        </w:tc>
      </w:tr>
      <w:tr w:rsidR="00506187" w:rsidTr="003D459F"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06187" w:rsidRDefault="00506187" w:rsidP="003D459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10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12.05.2022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506187" w:rsidRDefault="00506187" w:rsidP="00506187">
      <w:pPr>
        <w:pStyle w:val="ConsPlusNormal"/>
        <w:rPr>
          <w:rFonts w:ascii="Tahoma" w:hAnsi="Tahoma" w:cs="Tahoma"/>
          <w:sz w:val="28"/>
          <w:szCs w:val="28"/>
        </w:rPr>
        <w:sectPr w:rsidR="00506187">
          <w:pgSz w:w="11906" w:h="16838"/>
          <w:pgMar w:top="841" w:right="595" w:bottom="841" w:left="595" w:header="0" w:footer="0" w:gutter="0"/>
          <w:cols w:space="720"/>
          <w:noEndnote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06187" w:rsidTr="003D459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187" w:rsidRDefault="00506187" w:rsidP="003D459F">
            <w:pPr>
              <w:pStyle w:val="ConsPlusNormal"/>
              <w:jc w:val="both"/>
              <w:outlineLvl w:val="0"/>
            </w:pPr>
            <w:bookmarkStart w:id="0" w:name="_GoBack"/>
            <w:bookmarkEnd w:id="0"/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187" w:rsidRDefault="00506187" w:rsidP="003D459F">
            <w:pPr>
              <w:pStyle w:val="ConsPlusNormal"/>
              <w:jc w:val="both"/>
              <w:outlineLvl w:val="0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6187" w:rsidRDefault="00506187" w:rsidP="003D459F">
            <w:pPr>
              <w:pStyle w:val="ConsPlusNormal"/>
              <w:jc w:val="right"/>
              <w:rPr>
                <w:color w:val="392C69"/>
              </w:rPr>
            </w:pPr>
            <w:r>
              <w:rPr>
                <w:b/>
                <w:bCs/>
                <w:color w:val="392C69"/>
              </w:rPr>
              <w:t>Актуально на 12.05.2022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187" w:rsidRDefault="00506187" w:rsidP="003D459F">
            <w:pPr>
              <w:pStyle w:val="ConsPlusNormal"/>
              <w:jc w:val="right"/>
              <w:rPr>
                <w:color w:val="392C69"/>
              </w:rPr>
            </w:pPr>
          </w:p>
        </w:tc>
      </w:tr>
    </w:tbl>
    <w:p w:rsidR="00506187" w:rsidRDefault="00506187" w:rsidP="00506187">
      <w:pPr>
        <w:pStyle w:val="ConsPlusNormal"/>
        <w:spacing w:before="520"/>
        <w:rPr>
          <w:sz w:val="40"/>
          <w:szCs w:val="40"/>
        </w:rPr>
      </w:pPr>
      <w:r>
        <w:rPr>
          <w:b/>
          <w:bCs/>
          <w:sz w:val="40"/>
          <w:szCs w:val="40"/>
        </w:rPr>
        <w:t>Как отражаются в учете членские взносы в саморегулируемую организацию?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9787"/>
        <w:gridCol w:w="180"/>
      </w:tblGrid>
      <w:tr w:rsidR="00506187" w:rsidTr="003D459F">
        <w:tc>
          <w:tcPr>
            <w:tcW w:w="60" w:type="dxa"/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187" w:rsidRDefault="00506187" w:rsidP="003D459F">
            <w:pPr>
              <w:pStyle w:val="ConsPlusNormal"/>
              <w:jc w:val="both"/>
              <w:rPr>
                <w:sz w:val="40"/>
                <w:szCs w:val="40"/>
              </w:rPr>
            </w:pPr>
          </w:p>
        </w:tc>
        <w:tc>
          <w:tcPr>
            <w:tcW w:w="180" w:type="dxa"/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187" w:rsidRDefault="00506187" w:rsidP="003D459F">
            <w:pPr>
              <w:pStyle w:val="ConsPlusNormal"/>
              <w:jc w:val="both"/>
              <w:rPr>
                <w:sz w:val="40"/>
                <w:szCs w:val="40"/>
              </w:rPr>
            </w:pPr>
          </w:p>
        </w:tc>
        <w:tc>
          <w:tcPr>
            <w:tcW w:w="0" w:type="auto"/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506187" w:rsidRDefault="00506187" w:rsidP="003D459F">
            <w:pPr>
              <w:pStyle w:val="ConsPlusNormal"/>
              <w:jc w:val="both"/>
            </w:pPr>
            <w:r>
              <w:t>В бухгалтерском учете членские взносы в саморегулируемую организацию учитываются в составе расходов по обычным видам деятельности. В налоговом учете взносы учитываются в качестве прочих расходов, связанных с производством и реализацией, и только в случае, если их уплата предусмотрена требованиями закона.</w:t>
            </w:r>
          </w:p>
        </w:tc>
        <w:tc>
          <w:tcPr>
            <w:tcW w:w="180" w:type="dxa"/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187" w:rsidRDefault="00506187" w:rsidP="003D459F">
            <w:pPr>
              <w:pStyle w:val="ConsPlusNormal"/>
              <w:jc w:val="both"/>
            </w:pPr>
          </w:p>
        </w:tc>
      </w:tr>
    </w:tbl>
    <w:p w:rsidR="00506187" w:rsidRDefault="00506187" w:rsidP="00506187">
      <w:pPr>
        <w:pStyle w:val="ConsPlusNormal"/>
        <w:spacing w:before="300"/>
        <w:jc w:val="both"/>
      </w:pPr>
      <w:r>
        <w:t>Саморегулируемая организация (СРО) - некоммерческая организация (</w:t>
      </w:r>
      <w:hyperlink r:id="rId11" w:history="1">
        <w:r>
          <w:rPr>
            <w:color w:val="0000FF"/>
          </w:rPr>
          <w:t>ч. 1</w:t>
        </w:r>
      </w:hyperlink>
      <w:r>
        <w:t xml:space="preserve">, </w:t>
      </w:r>
      <w:hyperlink r:id="rId12" w:history="1">
        <w:r>
          <w:rPr>
            <w:color w:val="0000FF"/>
          </w:rPr>
          <w:t>3 ст. 3</w:t>
        </w:r>
      </w:hyperlink>
      <w:r>
        <w:t xml:space="preserve"> Федерального закона от 01.12.2007 N 315-ФЗ "О саморегулируемых организациях" (далее - Закон N 315-ФЗ)):</w:t>
      </w:r>
    </w:p>
    <w:p w:rsidR="00506187" w:rsidRDefault="00506187" w:rsidP="00506187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proofErr w:type="gramStart"/>
      <w:r>
        <w:t>объединяющая</w:t>
      </w:r>
      <w:proofErr w:type="gramEnd"/>
      <w:r>
        <w:t xml:space="preserve"> субъектов предпринимательской (профессиональной) деятельности по отраслевому признаку или по определенной профессии;</w:t>
      </w:r>
    </w:p>
    <w:p w:rsidR="00506187" w:rsidRDefault="00506187" w:rsidP="00506187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proofErr w:type="gramStart"/>
      <w:r>
        <w:t>предназначенная</w:t>
      </w:r>
      <w:proofErr w:type="gramEnd"/>
      <w:r>
        <w:t xml:space="preserve"> для регулирования предпринимательской и профессиональной деятельности в части обеспечения выполнения законодательных требований, единых стандартов и правил;</w:t>
      </w:r>
    </w:p>
    <w:p w:rsidR="00506187" w:rsidRDefault="00506187" w:rsidP="00506187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proofErr w:type="gramStart"/>
      <w:r>
        <w:t>обеспечивающая дополнительную имущественную ответственность каждого члена перед потребителями произведенных товаров (работ, услуг) и иными лицами.</w:t>
      </w:r>
      <w:proofErr w:type="gramEnd"/>
    </w:p>
    <w:p w:rsidR="00506187" w:rsidRDefault="00506187" w:rsidP="00506187">
      <w:pPr>
        <w:pStyle w:val="ConsPlusNormal"/>
        <w:spacing w:before="240"/>
        <w:jc w:val="both"/>
      </w:pPr>
      <w:r>
        <w:t>Одним из источников формирования имущества СРО являются регулярные членские взносы от членов СРО (</w:t>
      </w:r>
      <w:hyperlink r:id="rId13" w:history="1">
        <w:r>
          <w:rPr>
            <w:color w:val="0000FF"/>
          </w:rPr>
          <w:t>п. 1 ч. 1 ст. 12</w:t>
        </w:r>
      </w:hyperlink>
      <w:r>
        <w:t xml:space="preserve"> Закона N 315-ФЗ). По общему правилу порядок их поступлений определяется внутренними документами СРО, утвержденными общим собранием членов СРО, или уставом некоммерческой организации (</w:t>
      </w:r>
      <w:hyperlink r:id="rId14" w:history="1">
        <w:r>
          <w:rPr>
            <w:color w:val="0000FF"/>
          </w:rPr>
          <w:t>ч. 3 ст. 12</w:t>
        </w:r>
      </w:hyperlink>
      <w:r>
        <w:t xml:space="preserve"> Закона N 315-ФЗ).</w:t>
      </w:r>
    </w:p>
    <w:p w:rsidR="00506187" w:rsidRDefault="00506187" w:rsidP="00506187">
      <w:pPr>
        <w:pStyle w:val="ConsPlusNormal"/>
        <w:spacing w:before="240"/>
        <w:jc w:val="both"/>
      </w:pPr>
      <w:r>
        <w:t>Членский взнос - плата за участие в СРО (</w:t>
      </w:r>
      <w:hyperlink r:id="rId15" w:history="1">
        <w:r>
          <w:rPr>
            <w:color w:val="0000FF"/>
          </w:rPr>
          <w:t>Письмо</w:t>
        </w:r>
      </w:hyperlink>
      <w:r>
        <w:t xml:space="preserve"> Минэкономразвития России от 27.03.2017 N ОГ-Д28-3660).</w:t>
      </w:r>
    </w:p>
    <w:p w:rsidR="00506187" w:rsidRDefault="00506187" w:rsidP="00506187">
      <w:pPr>
        <w:pStyle w:val="ConsPlusNormal"/>
        <w:spacing w:before="240"/>
        <w:jc w:val="both"/>
      </w:pPr>
      <w:r>
        <w:t>Членство в СРО может быть обязательным в силу закона и добровольным (</w:t>
      </w:r>
      <w:hyperlink r:id="rId16" w:history="1">
        <w:r>
          <w:rPr>
            <w:color w:val="0000FF"/>
          </w:rPr>
          <w:t>ч. 1</w:t>
        </w:r>
      </w:hyperlink>
      <w:r>
        <w:t xml:space="preserve">, </w:t>
      </w:r>
      <w:hyperlink r:id="rId17" w:history="1">
        <w:r>
          <w:rPr>
            <w:color w:val="0000FF"/>
          </w:rPr>
          <w:t>2 ст. 5</w:t>
        </w:r>
      </w:hyperlink>
      <w:r>
        <w:t xml:space="preserve"> Закона N 315-ФЗ). Например, аудиторская организация или организация, выполняющая инженерные изыскания в области архитектурно-строительного проектирования, должны являться членами СРО (</w:t>
      </w:r>
      <w:hyperlink r:id="rId18" w:history="1">
        <w:r>
          <w:rPr>
            <w:color w:val="0000FF"/>
          </w:rPr>
          <w:t>ч. 1 ст. 3</w:t>
        </w:r>
      </w:hyperlink>
      <w:r>
        <w:t xml:space="preserve"> Федерального закона от 30.12.2008 N 307-ФЗ "Об аудиторской деятельности" (далее - Закон N 307-ФЗ), </w:t>
      </w:r>
      <w:hyperlink r:id="rId19" w:history="1">
        <w:r>
          <w:rPr>
            <w:color w:val="0000FF"/>
          </w:rPr>
          <w:t>ч. 1 ст. 55.8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РФ).</w:t>
      </w:r>
    </w:p>
    <w:p w:rsidR="00506187" w:rsidRDefault="00506187" w:rsidP="00506187">
      <w:pPr>
        <w:pStyle w:val="ConsPlusNormal"/>
        <w:spacing w:before="120"/>
        <w:outlineLvl w:val="0"/>
        <w:rPr>
          <w:sz w:val="34"/>
          <w:szCs w:val="34"/>
        </w:rPr>
      </w:pPr>
      <w:r>
        <w:rPr>
          <w:b/>
          <w:bCs/>
          <w:sz w:val="34"/>
          <w:szCs w:val="34"/>
        </w:rPr>
        <w:t>Бухгалтерский учет членских взносов</w:t>
      </w:r>
    </w:p>
    <w:p w:rsidR="00506187" w:rsidRDefault="00506187" w:rsidP="00506187">
      <w:pPr>
        <w:pStyle w:val="ConsPlusNormal"/>
        <w:spacing w:before="240"/>
        <w:jc w:val="both"/>
      </w:pPr>
      <w:r>
        <w:t>Организация - член СРО учитывает расходы по уплате регулярных членских взносов в составе расходов по обычным видам деятельности (</w:t>
      </w:r>
      <w:hyperlink r:id="rId20" w:history="1">
        <w:r>
          <w:rPr>
            <w:color w:val="0000FF"/>
          </w:rPr>
          <w:t>п. 5</w:t>
        </w:r>
      </w:hyperlink>
      <w:r>
        <w:t xml:space="preserve"> ПБУ 10/99 "Расходы организации", утв. Приказом Минфина России от 06.05.1999 N 33н).</w:t>
      </w:r>
    </w:p>
    <w:p w:rsidR="00506187" w:rsidRDefault="00506187" w:rsidP="00506187">
      <w:pPr>
        <w:pStyle w:val="ConsPlusNormal"/>
        <w:spacing w:before="240"/>
        <w:jc w:val="both"/>
      </w:pPr>
      <w:r>
        <w:t>Расходы на уплату членских взносов в СРО признаются в том отчетном периоде, в котором они имели место, независимо от времени фактической выплаты денежных средств и иной формы осуществления (</w:t>
      </w:r>
      <w:hyperlink r:id="rId21" w:history="1">
        <w:r>
          <w:rPr>
            <w:color w:val="0000FF"/>
          </w:rPr>
          <w:t>п. 18</w:t>
        </w:r>
      </w:hyperlink>
      <w:r>
        <w:t xml:space="preserve"> ПБУ 10/99).</w:t>
      </w:r>
    </w:p>
    <w:p w:rsidR="00506187" w:rsidRDefault="00506187" w:rsidP="00506187">
      <w:pPr>
        <w:pStyle w:val="ConsPlusNormal"/>
        <w:spacing w:before="240"/>
        <w:jc w:val="both"/>
      </w:pPr>
      <w:r>
        <w:t>Регулярность уплаты членских взносов устанавливает соответствующая СРО - ежемесячно, ежеквартально, каждые полгода, каждый год.</w:t>
      </w:r>
    </w:p>
    <w:p w:rsidR="00506187" w:rsidRDefault="00506187" w:rsidP="00506187">
      <w:pPr>
        <w:pStyle w:val="ConsPlusNormal"/>
        <w:spacing w:before="240"/>
        <w:jc w:val="both"/>
      </w:pPr>
      <w:proofErr w:type="gramStart"/>
      <w:r>
        <w:t xml:space="preserve">Если членские взносы перечисляются раз в полгода или раз в год, то их надо распределить по </w:t>
      </w:r>
      <w:r>
        <w:lastRenderedPageBreak/>
        <w:t>кварталам или месяцам, при этом способ распределения может быть любым: равными долями, пропорционально выручке и другое, в зависимости от принятой учетной политики организации (</w:t>
      </w:r>
      <w:hyperlink r:id="rId22" w:history="1">
        <w:r>
          <w:rPr>
            <w:color w:val="0000FF"/>
          </w:rPr>
          <w:t>п. п. 2</w:t>
        </w:r>
      </w:hyperlink>
      <w:r>
        <w:t xml:space="preserve">, </w:t>
      </w:r>
      <w:hyperlink r:id="rId23" w:history="1">
        <w:r>
          <w:rPr>
            <w:color w:val="0000FF"/>
          </w:rPr>
          <w:t>19</w:t>
        </w:r>
      </w:hyperlink>
      <w:r>
        <w:t xml:space="preserve"> ПБУ 10/99, </w:t>
      </w:r>
      <w:hyperlink r:id="rId24" w:history="1">
        <w:r>
          <w:rPr>
            <w:color w:val="0000FF"/>
          </w:rPr>
          <w:t>п. 7.1</w:t>
        </w:r>
      </w:hyperlink>
      <w:r>
        <w:t xml:space="preserve"> ПБУ 1/2008 "Учетная политика организации", утв. Приказом Минфина России от 06.10.2008</w:t>
      </w:r>
      <w:proofErr w:type="gramEnd"/>
      <w:r>
        <w:t xml:space="preserve"> </w:t>
      </w:r>
      <w:proofErr w:type="gramStart"/>
      <w:r>
        <w:t>N 106н).</w:t>
      </w:r>
      <w:proofErr w:type="gramEnd"/>
    </w:p>
    <w:p w:rsidR="00506187" w:rsidRDefault="00506187" w:rsidP="00506187">
      <w:pPr>
        <w:pStyle w:val="ConsPlusNormal"/>
        <w:spacing w:before="240"/>
        <w:jc w:val="both"/>
      </w:pPr>
      <w:proofErr w:type="gramStart"/>
      <w:r>
        <w:t>По общему правилу суммы регулярных "долгосрочных" членских взносов не могут отражаться в составе активов, поскольку не удовлетворяют критериям актива (</w:t>
      </w:r>
      <w:proofErr w:type="spellStart"/>
      <w:r>
        <w:fldChar w:fldCharType="begin"/>
      </w:r>
      <w:r>
        <w:instrText xml:space="preserve"> HYPERLINK "https://login.consultant.ru/link/?req=doc&amp;base=LAW&amp;n=160581&amp;date=12.05.2022&amp;dst=100136&amp;field=134"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"a" п. 4.4</w:t>
      </w:r>
      <w:r>
        <w:rPr>
          <w:color w:val="0000FF"/>
        </w:rPr>
        <w:fldChar w:fldCharType="end"/>
      </w:r>
      <w:r>
        <w:t xml:space="preserve">, </w:t>
      </w:r>
      <w:hyperlink r:id="rId25" w:history="1">
        <w:r>
          <w:rPr>
            <w:color w:val="0000FF"/>
          </w:rPr>
          <w:t>п. п. 4.8</w:t>
        </w:r>
      </w:hyperlink>
      <w:r>
        <w:t xml:space="preserve">, </w:t>
      </w:r>
      <w:hyperlink r:id="rId26" w:history="1">
        <w:r>
          <w:rPr>
            <w:color w:val="0000FF"/>
          </w:rPr>
          <w:t>4.9</w:t>
        </w:r>
      </w:hyperlink>
      <w:r>
        <w:t xml:space="preserve">, </w:t>
      </w:r>
      <w:hyperlink r:id="rId27" w:history="1">
        <w:r>
          <w:rPr>
            <w:color w:val="0000FF"/>
          </w:rPr>
          <w:t>4.10</w:t>
        </w:r>
      </w:hyperlink>
      <w:r>
        <w:t xml:space="preserve"> Концептуальных основ финансовой отчетности, принятых Советом по МСФО, </w:t>
      </w:r>
      <w:hyperlink r:id="rId28" w:history="1">
        <w:r>
          <w:rPr>
            <w:color w:val="0000FF"/>
          </w:rPr>
          <w:t>п. п. 7.2</w:t>
        </w:r>
      </w:hyperlink>
      <w:r>
        <w:t xml:space="preserve">, </w:t>
      </w:r>
      <w:hyperlink r:id="rId29" w:history="1">
        <w:r>
          <w:rPr>
            <w:color w:val="0000FF"/>
          </w:rPr>
          <w:t>7.2.1</w:t>
        </w:r>
      </w:hyperlink>
      <w:r>
        <w:t xml:space="preserve"> Концепции бухгалтерского учета в рыночной экономике России, одобренной Методологическим советом по бухгалтерскому учету при Минфине России, Президентским советом ИПБ России</w:t>
      </w:r>
      <w:proofErr w:type="gramEnd"/>
      <w:r>
        <w:t xml:space="preserve"> 29.12.1997).</w:t>
      </w:r>
    </w:p>
    <w:p w:rsidR="00506187" w:rsidRDefault="00506187" w:rsidP="00506187">
      <w:pPr>
        <w:pStyle w:val="ConsPlusNormal"/>
        <w:spacing w:before="240"/>
        <w:jc w:val="both"/>
      </w:pPr>
      <w:r>
        <w:t>Расходы по уплате членских взносов отражаются в учете организации - члена СРО следующими записями (</w:t>
      </w:r>
      <w:hyperlink r:id="rId30" w:history="1">
        <w:r>
          <w:rPr>
            <w:color w:val="0000FF"/>
          </w:rPr>
          <w:t>Инструкция</w:t>
        </w:r>
      </w:hyperlink>
      <w:r>
        <w:t xml:space="preserve"> по применению Плана счетов бухгалтерского учета финансово-хозяйственной деятельности организаций, утв. Приказом Минфина России от 31.10.2000 N 94н):</w:t>
      </w:r>
    </w:p>
    <w:p w:rsidR="00506187" w:rsidRDefault="00506187" w:rsidP="00506187">
      <w:pPr>
        <w:pStyle w:val="ConsPlusNormal"/>
        <w:spacing w:before="240"/>
        <w:jc w:val="both"/>
      </w:pPr>
      <w:proofErr w:type="spellStart"/>
      <w:r>
        <w:t>Дт</w:t>
      </w:r>
      <w:proofErr w:type="spellEnd"/>
      <w:r>
        <w:t xml:space="preserve"> 25 (20) </w:t>
      </w:r>
      <w:proofErr w:type="spellStart"/>
      <w:r>
        <w:t>Кт</w:t>
      </w:r>
      <w:proofErr w:type="spellEnd"/>
      <w:r>
        <w:t xml:space="preserve"> 60 (76).</w:t>
      </w:r>
    </w:p>
    <w:p w:rsidR="00506187" w:rsidRDefault="00506187" w:rsidP="00506187">
      <w:pPr>
        <w:pStyle w:val="ConsPlusNormal"/>
        <w:spacing w:before="120" w:after="120"/>
        <w:outlineLvl w:val="0"/>
        <w:rPr>
          <w:sz w:val="34"/>
          <w:szCs w:val="34"/>
        </w:rPr>
      </w:pPr>
      <w:r>
        <w:rPr>
          <w:b/>
          <w:bCs/>
          <w:sz w:val="34"/>
          <w:szCs w:val="34"/>
        </w:rPr>
        <w:t>Налоговый учет членских взносов</w:t>
      </w:r>
    </w:p>
    <w:p w:rsidR="00506187" w:rsidRDefault="00506187" w:rsidP="00506187">
      <w:pPr>
        <w:pStyle w:val="ConsPlusNormal"/>
        <w:spacing w:before="240"/>
        <w:jc w:val="both"/>
      </w:pPr>
      <w:r>
        <w:t xml:space="preserve">Расходы в виде уплаты членских взносов в СРО признаются </w:t>
      </w:r>
      <w:proofErr w:type="gramStart"/>
      <w:r>
        <w:t>в расходах по налогу на прибыль при применении метода начисления единовременно в соответствии</w:t>
      </w:r>
      <w:proofErr w:type="gramEnd"/>
      <w:r>
        <w:t xml:space="preserve"> с </w:t>
      </w:r>
      <w:hyperlink r:id="rId31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29 п. 1 ст. 264</w:t>
        </w:r>
      </w:hyperlink>
      <w:r>
        <w:t xml:space="preserve">, </w:t>
      </w:r>
      <w:hyperlink r:id="rId32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 п. 7 ст. 272</w:t>
        </w:r>
      </w:hyperlink>
      <w:r>
        <w:t xml:space="preserve"> НК РФ. При этом необходимо, чтобы их уплата являлась условием для осуществления деятельности организации - члена СРО (</w:t>
      </w:r>
      <w:hyperlink r:id="rId33" w:history="1">
        <w:r>
          <w:rPr>
            <w:color w:val="0000FF"/>
          </w:rPr>
          <w:t>Письмо</w:t>
        </w:r>
      </w:hyperlink>
      <w:r>
        <w:t xml:space="preserve"> Минфина России от 12.01.2018 N 03-03-06/1/797).</w:t>
      </w:r>
    </w:p>
    <w:p w:rsidR="00506187" w:rsidRDefault="00506187" w:rsidP="00506187">
      <w:pPr>
        <w:pStyle w:val="ConsPlusNormal"/>
        <w:spacing w:before="240"/>
        <w:jc w:val="both"/>
      </w:pPr>
      <w:r>
        <w:t xml:space="preserve">Следует иметь в виду, что в иных случаях, в том </w:t>
      </w:r>
      <w:proofErr w:type="gramStart"/>
      <w:r>
        <w:t>числе</w:t>
      </w:r>
      <w:proofErr w:type="gramEnd"/>
      <w:r>
        <w:t xml:space="preserve"> когда обязательность уплаты платежей некоммерческой организации обусловлена соглашением с такой СРО, расходы на уплату членских взносов нельзя учесть при исчислении налога на прибыль (</w:t>
      </w:r>
      <w:hyperlink r:id="rId34" w:history="1">
        <w:r>
          <w:rPr>
            <w:color w:val="0000FF"/>
          </w:rPr>
          <w:t>Письмо</w:t>
        </w:r>
      </w:hyperlink>
      <w:r>
        <w:t xml:space="preserve"> Минфина России от 06.02.2015 N 03-03-06/1/4991).</w:t>
      </w:r>
    </w:p>
    <w:p w:rsidR="00506187" w:rsidRDefault="00506187" w:rsidP="00506187">
      <w:pPr>
        <w:pStyle w:val="ConsPlusNormal"/>
        <w:spacing w:before="240"/>
        <w:jc w:val="both"/>
      </w:pPr>
      <w:r>
        <w:t>Документальным подтверждением расходов на членские взносы являются:</w:t>
      </w:r>
    </w:p>
    <w:p w:rsidR="00506187" w:rsidRDefault="00506187" w:rsidP="00506187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>документы, подтверждающие членство в СРО;</w:t>
      </w:r>
    </w:p>
    <w:p w:rsidR="00506187" w:rsidRDefault="00506187" w:rsidP="00506187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>платежные поручения на перечисление взносов;</w:t>
      </w:r>
    </w:p>
    <w:p w:rsidR="00506187" w:rsidRDefault="00506187" w:rsidP="00506187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>счета и другие документы, выданные СРО.</w:t>
      </w:r>
    </w:p>
    <w:p w:rsidR="00506187" w:rsidRDefault="00506187" w:rsidP="00506187">
      <w:pPr>
        <w:pStyle w:val="ConsPlusNormal"/>
        <w:spacing w:before="240"/>
        <w:jc w:val="both"/>
      </w:pPr>
      <w:proofErr w:type="gramStart"/>
      <w:r>
        <w:t>В отношении документов, подтверждающих членство в СРО, отметим, что, как правило, таким документом является выписка из реестра членов СРО, которая предоставляется заинтересованным лицам по их запросам (</w:t>
      </w:r>
      <w:hyperlink r:id="rId35" w:history="1">
        <w:r>
          <w:rPr>
            <w:color w:val="0000FF"/>
          </w:rPr>
          <w:t>ч. 2 ст. 7.1</w:t>
        </w:r>
      </w:hyperlink>
      <w:r>
        <w:t xml:space="preserve"> Закона N 315-ФЗ, </w:t>
      </w:r>
      <w:hyperlink r:id="rId36" w:history="1">
        <w:r>
          <w:rPr>
            <w:color w:val="0000FF"/>
          </w:rPr>
          <w:t>ч. 4 ст. 55.17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РФ, </w:t>
      </w:r>
      <w:hyperlink r:id="rId37" w:history="1">
        <w:r>
          <w:rPr>
            <w:color w:val="0000FF"/>
          </w:rPr>
          <w:t>ч. 2 ст. 3</w:t>
        </w:r>
      </w:hyperlink>
      <w:r>
        <w:t xml:space="preserve"> Закона N 307-ФЗ, </w:t>
      </w:r>
      <w:hyperlink r:id="rId38" w:history="1">
        <w:r>
          <w:rPr>
            <w:color w:val="0000FF"/>
          </w:rPr>
          <w:t>п. 22</w:t>
        </w:r>
      </w:hyperlink>
      <w:r>
        <w:t xml:space="preserve"> Порядка, утв. Приказом Минфина России от 15.11.2021 N 174н, </w:t>
      </w:r>
      <w:hyperlink r:id="rId39" w:history="1">
        <w:r>
          <w:rPr>
            <w:color w:val="0000FF"/>
          </w:rPr>
          <w:t>ст. 22.1</w:t>
        </w:r>
      </w:hyperlink>
      <w:r>
        <w:t xml:space="preserve"> Федерального</w:t>
      </w:r>
      <w:proofErr w:type="gramEnd"/>
      <w:r>
        <w:t xml:space="preserve"> закона от 29.07.1998 N 135-ФЗ "Об оценочной деятельности в РФ", </w:t>
      </w:r>
      <w:hyperlink r:id="rId40" w:history="1">
        <w:r>
          <w:rPr>
            <w:color w:val="0000FF"/>
          </w:rPr>
          <w:t>п. 17</w:t>
        </w:r>
      </w:hyperlink>
      <w:r>
        <w:t xml:space="preserve"> Порядка, утв. Приказом Минэкономразвития России от 24.10.2020 N 699 и др. НПА, регулирующие СРО в отдельных видах деятельности). </w:t>
      </w:r>
    </w:p>
    <w:p w:rsidR="00506187" w:rsidRDefault="00506187" w:rsidP="00506187">
      <w:pPr>
        <w:pStyle w:val="ConsPlusNormal"/>
        <w:jc w:val="right"/>
      </w:pPr>
      <w:r>
        <w:t>Подготовлено на основе материала</w:t>
      </w:r>
    </w:p>
    <w:p w:rsidR="00506187" w:rsidRDefault="00506187" w:rsidP="00506187">
      <w:pPr>
        <w:pStyle w:val="ConsPlusNormal"/>
        <w:jc w:val="right"/>
      </w:pPr>
      <w:r>
        <w:t>Е.В. Орловой,</w:t>
      </w:r>
    </w:p>
    <w:p w:rsidR="00506187" w:rsidRDefault="00506187" w:rsidP="00506187">
      <w:pPr>
        <w:pStyle w:val="ConsPlusNormal"/>
        <w:jc w:val="right"/>
      </w:pPr>
      <w:r>
        <w:t>начальника отдела аудита</w:t>
      </w:r>
    </w:p>
    <w:p w:rsidR="00506187" w:rsidRDefault="00506187" w:rsidP="00506187">
      <w:pPr>
        <w:pStyle w:val="ConsPlusNormal"/>
        <w:jc w:val="right"/>
      </w:pPr>
      <w:r>
        <w:t>ООО "ПАРТИ"</w:t>
      </w:r>
    </w:p>
    <w:sectPr w:rsidR="00506187" w:rsidSect="00506187">
      <w:headerReference w:type="default" r:id="rId41"/>
      <w:footerReference w:type="default" r:id="rId42"/>
      <w:pgSz w:w="11906" w:h="16838"/>
      <w:pgMar w:top="678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87" w:rsidRDefault="00506187" w:rsidP="00506187">
      <w:pPr>
        <w:spacing w:after="0" w:line="240" w:lineRule="auto"/>
      </w:pPr>
      <w:r>
        <w:separator/>
      </w:r>
    </w:p>
  </w:endnote>
  <w:endnote w:type="continuationSeparator" w:id="0">
    <w:p w:rsidR="00506187" w:rsidRDefault="00506187" w:rsidP="0050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5A" w:rsidRDefault="0010398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0175A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0175A" w:rsidRDefault="0010398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0175A" w:rsidRDefault="0010398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0175A" w:rsidRDefault="0010398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F3F69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F3F69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0175A" w:rsidRDefault="0010398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87" w:rsidRDefault="00506187" w:rsidP="00506187">
      <w:pPr>
        <w:spacing w:after="0" w:line="240" w:lineRule="auto"/>
      </w:pPr>
      <w:r>
        <w:separator/>
      </w:r>
    </w:p>
  </w:footnote>
  <w:footnote w:type="continuationSeparator" w:id="0">
    <w:p w:rsidR="00506187" w:rsidRDefault="00506187" w:rsidP="0050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744939"/>
      <w:docPartObj>
        <w:docPartGallery w:val="Page Numbers (Top of Page)"/>
        <w:docPartUnique/>
      </w:docPartObj>
    </w:sdtPr>
    <w:sdtContent>
      <w:p w:rsidR="00506187" w:rsidRDefault="005061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F69">
          <w:rPr>
            <w:noProof/>
          </w:rPr>
          <w:t>3</w:t>
        </w:r>
        <w:r>
          <w:fldChar w:fldCharType="end"/>
        </w:r>
      </w:p>
    </w:sdtContent>
  </w:sdt>
  <w:p w:rsidR="00A0175A" w:rsidRDefault="0010398C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87"/>
    <w:rsid w:val="000D4224"/>
    <w:rsid w:val="0010398C"/>
    <w:rsid w:val="001F3F69"/>
    <w:rsid w:val="002B230D"/>
    <w:rsid w:val="00506187"/>
    <w:rsid w:val="009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8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5061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18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6187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0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6187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8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5061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18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6187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0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6187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89306&amp;date=12.05.2022&amp;dst=100117&amp;field=134" TargetMode="External"/><Relationship Id="rId18" Type="http://schemas.openxmlformats.org/officeDocument/2006/relationships/hyperlink" Target="https://login.consultant.ru/link/?req=doc&amp;base=LAW&amp;n=389510&amp;date=12.05.2022&amp;dst=100030&amp;field=134" TargetMode="External"/><Relationship Id="rId26" Type="http://schemas.openxmlformats.org/officeDocument/2006/relationships/hyperlink" Target="https://login.consultant.ru/link/?req=doc&amp;base=LAW&amp;n=160581&amp;date=12.05.2022&amp;dst=100144&amp;field=134" TargetMode="External"/><Relationship Id="rId39" Type="http://schemas.openxmlformats.org/officeDocument/2006/relationships/hyperlink" Target="https://login.consultant.ru/link/?req=doc&amp;base=LAW&amp;n=389729&amp;date=12.05.2022&amp;dst=100276&amp;fie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179199&amp;date=12.05.2022&amp;dst=100095&amp;field=134" TargetMode="External"/><Relationship Id="rId34" Type="http://schemas.openxmlformats.org/officeDocument/2006/relationships/hyperlink" Target="https://login.consultant.ru/link/?req=doc&amp;base=QUEST&amp;n=143014&amp;date=12.05.2022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9306&amp;date=12.05.2022&amp;dst=100267&amp;field=134" TargetMode="External"/><Relationship Id="rId17" Type="http://schemas.openxmlformats.org/officeDocument/2006/relationships/hyperlink" Target="https://login.consultant.ru/link/?req=doc&amp;base=LAW&amp;n=389306&amp;date=12.05.2022&amp;dst=100274&amp;field=134" TargetMode="External"/><Relationship Id="rId25" Type="http://schemas.openxmlformats.org/officeDocument/2006/relationships/hyperlink" Target="https://login.consultant.ru/link/?req=doc&amp;base=LAW&amp;n=160581&amp;date=12.05.2022&amp;dst=100143&amp;field=134" TargetMode="External"/><Relationship Id="rId33" Type="http://schemas.openxmlformats.org/officeDocument/2006/relationships/hyperlink" Target="https://login.consultant.ru/link/?req=doc&amp;base=QUEST&amp;n=173704&amp;date=12.05.2022" TargetMode="External"/><Relationship Id="rId38" Type="http://schemas.openxmlformats.org/officeDocument/2006/relationships/hyperlink" Target="https://login.consultant.ru/link/?req=doc&amp;base=LAW&amp;n=402250&amp;date=12.05.2022&amp;dst=100072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9306&amp;date=12.05.2022&amp;dst=100035&amp;field=134" TargetMode="External"/><Relationship Id="rId20" Type="http://schemas.openxmlformats.org/officeDocument/2006/relationships/hyperlink" Target="https://login.consultant.ru/link/?req=doc&amp;base=LAW&amp;n=179199&amp;date=12.05.2022&amp;dst=100033&amp;field=134" TargetMode="External"/><Relationship Id="rId29" Type="http://schemas.openxmlformats.org/officeDocument/2006/relationships/hyperlink" Target="https://login.consultant.ru/link/?req=doc&amp;base=LAW&amp;n=17312&amp;date=12.05.2022&amp;dst=100187&amp;field=134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306&amp;date=12.05.2022&amp;dst=100266&amp;field=134" TargetMode="External"/><Relationship Id="rId24" Type="http://schemas.openxmlformats.org/officeDocument/2006/relationships/hyperlink" Target="https://login.consultant.ru/link/?req=doc&amp;base=LAW&amp;n=347339&amp;date=12.05.2022&amp;dst=14&amp;field=134" TargetMode="External"/><Relationship Id="rId32" Type="http://schemas.openxmlformats.org/officeDocument/2006/relationships/hyperlink" Target="https://login.consultant.ru/link/?req=doc&amp;base=LAW&amp;n=416260&amp;date=12.05.2022&amp;dst=3069&amp;field=134" TargetMode="External"/><Relationship Id="rId37" Type="http://schemas.openxmlformats.org/officeDocument/2006/relationships/hyperlink" Target="https://login.consultant.ru/link/?req=doc&amp;base=LAW&amp;n=389510&amp;date=12.05.2022&amp;dst=100031&amp;field=134" TargetMode="External"/><Relationship Id="rId40" Type="http://schemas.openxmlformats.org/officeDocument/2006/relationships/hyperlink" Target="https://login.consultant.ru/link/?req=doc&amp;base=LAW&amp;n=369109&amp;date=12.05.2022&amp;dst=100051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QUEST&amp;n=166942&amp;date=12.05.2022" TargetMode="External"/><Relationship Id="rId23" Type="http://schemas.openxmlformats.org/officeDocument/2006/relationships/hyperlink" Target="https://login.consultant.ru/link/?req=doc&amp;base=LAW&amp;n=179199&amp;date=12.05.2022&amp;dst=100099&amp;field=134" TargetMode="External"/><Relationship Id="rId28" Type="http://schemas.openxmlformats.org/officeDocument/2006/relationships/hyperlink" Target="https://login.consultant.ru/link/?req=doc&amp;base=LAW&amp;n=17312&amp;date=12.05.2022&amp;dst=100184&amp;field=134" TargetMode="External"/><Relationship Id="rId36" Type="http://schemas.openxmlformats.org/officeDocument/2006/relationships/hyperlink" Target="https://login.consultant.ru/link/?req=doc&amp;base=LAW&amp;n=416268&amp;date=12.05.2022&amp;dst=101989&amp;field=134" TargetMode="External"/><Relationship Id="rId10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LAW&amp;n=416268&amp;date=12.05.2022&amp;dst=2705&amp;field=134" TargetMode="External"/><Relationship Id="rId31" Type="http://schemas.openxmlformats.org/officeDocument/2006/relationships/hyperlink" Target="https://login.consultant.ru/link/?req=doc&amp;base=LAW&amp;n=416260&amp;date=12.05.2022&amp;dst=102239&amp;field=13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389306&amp;date=12.05.2022&amp;dst=100302&amp;field=134" TargetMode="External"/><Relationship Id="rId22" Type="http://schemas.openxmlformats.org/officeDocument/2006/relationships/hyperlink" Target="https://login.consultant.ru/link/?req=doc&amp;base=LAW&amp;n=179199&amp;date=12.05.2022&amp;dst=100017&amp;field=134" TargetMode="External"/><Relationship Id="rId27" Type="http://schemas.openxmlformats.org/officeDocument/2006/relationships/hyperlink" Target="https://login.consultant.ru/link/?req=doc&amp;base=LAW&amp;n=160581&amp;date=12.05.2022&amp;dst=100145&amp;field=134" TargetMode="External"/><Relationship Id="rId30" Type="http://schemas.openxmlformats.org/officeDocument/2006/relationships/hyperlink" Target="https://login.consultant.ru/link/?req=doc&amp;base=LAW&amp;n=107972&amp;date=12.05.2022&amp;dst=100379&amp;field=134" TargetMode="External"/><Relationship Id="rId35" Type="http://schemas.openxmlformats.org/officeDocument/2006/relationships/hyperlink" Target="https://login.consultant.ru/link/?req=doc&amp;base=LAW&amp;n=389306&amp;date=12.05.2022&amp;dst=37&amp;field=134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2022-05-13T07:39:00Z</dcterms:created>
  <dcterms:modified xsi:type="dcterms:W3CDTF">2022-05-13T07:39:00Z</dcterms:modified>
</cp:coreProperties>
</file>